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DF4" w:rsidRDefault="00EA05C6" w:rsidP="00EA05C6">
      <w:pPr>
        <w:jc w:val="center"/>
      </w:pPr>
      <w:r>
        <w:t xml:space="preserve">Информация об исполнении рекомендаций «круглого стола» на тему: </w:t>
      </w:r>
      <w:r>
        <w:br/>
        <w:t>«Развитие благотворительности и добровольчества в Ханты-Мансийском автономном округе – Югре»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11871"/>
      </w:tblGrid>
      <w:tr w:rsidR="00EA05C6" w:rsidTr="00BA3577">
        <w:tc>
          <w:tcPr>
            <w:tcW w:w="2405" w:type="dxa"/>
          </w:tcPr>
          <w:p w:rsidR="00EA05C6" w:rsidRDefault="00EA05C6" w:rsidP="00EA05C6">
            <w:pPr>
              <w:jc w:val="center"/>
            </w:pPr>
            <w:r>
              <w:t>Пункт рекомендаций</w:t>
            </w:r>
          </w:p>
          <w:p w:rsidR="00EA05C6" w:rsidRDefault="00EA05C6" w:rsidP="00EA05C6">
            <w:pPr>
              <w:jc w:val="center"/>
            </w:pPr>
          </w:p>
        </w:tc>
        <w:tc>
          <w:tcPr>
            <w:tcW w:w="11871" w:type="dxa"/>
          </w:tcPr>
          <w:p w:rsidR="00EA05C6" w:rsidRDefault="00EA05C6" w:rsidP="00EA05C6">
            <w:pPr>
              <w:jc w:val="center"/>
            </w:pPr>
            <w:r>
              <w:t>Информация об исполнении</w:t>
            </w:r>
          </w:p>
        </w:tc>
      </w:tr>
      <w:tr w:rsidR="00EA05C6" w:rsidTr="00BA3577">
        <w:tc>
          <w:tcPr>
            <w:tcW w:w="2405" w:type="dxa"/>
          </w:tcPr>
          <w:p w:rsidR="00EA05C6" w:rsidRDefault="00EA05C6" w:rsidP="00EA05C6">
            <w:pPr>
              <w:jc w:val="center"/>
            </w:pPr>
            <w:r>
              <w:t xml:space="preserve">2.2 </w:t>
            </w:r>
          </w:p>
        </w:tc>
        <w:tc>
          <w:tcPr>
            <w:tcW w:w="11871" w:type="dxa"/>
          </w:tcPr>
          <w:p w:rsidR="00EA05C6" w:rsidRDefault="00EA05C6" w:rsidP="00EA05C6">
            <w:pPr>
              <w:jc w:val="both"/>
            </w:pPr>
            <w:r>
              <w:t xml:space="preserve">Во исполнение рекомендаций «круглого стола», учитывая предложения Общественной палаты Ханты-Мансийского автономного округа – Югры (далее – автономный округ), Департамент общественных и внешних связей автономного округа подготовил и направил предложения в Аппарат Губернатора автономного округа (№ 11-исх-3086 от 10 августа 2021 года) по учреждению награды автономного округа за участие и развитие общественной, благотворительной и добровольческой (волонтерской) деятельностей для включения в Закон автономного округа от 27 ноября 2015 года № 125-оз «О наградах, и почетных званиях </w:t>
            </w:r>
            <w:r w:rsidR="00BA3577">
              <w:br/>
            </w:r>
            <w:r>
              <w:t xml:space="preserve">Ханты-Мансийского автономного округа – Югры» (далее – Закон № 125-оз). </w:t>
            </w:r>
          </w:p>
          <w:p w:rsidR="00EA05C6" w:rsidRDefault="00EA05C6" w:rsidP="00EA05C6">
            <w:pPr>
              <w:jc w:val="both"/>
            </w:pPr>
            <w:r>
              <w:t xml:space="preserve">Почетный нагрудный знак «За созидание» утвержден Законом автономного округа от 25 ноября 2021 года № 90-оз «О внесении изменений в Закон Ханты-Мансийского автономного </w:t>
            </w:r>
            <w:r w:rsidR="00BA3577">
              <w:br/>
            </w:r>
            <w:r>
              <w:t>округа – Югры «О наградах и почетных званиях Ханты-Мансийского автономного округа – Югры».</w:t>
            </w:r>
          </w:p>
          <w:p w:rsidR="00EA05C6" w:rsidRDefault="00EA05C6" w:rsidP="00EA05C6">
            <w:pPr>
              <w:jc w:val="both"/>
            </w:pPr>
            <w:r>
              <w:t>Согласно пункту 3.3. статьи 5 Закона № 125-оз почетным нагрудным знаком «За созидание» награждаются граждане Российской Федерации за участие в добровольческой (волонтерской), благотворительной деятельности, оказание иной безвозмездной помощи жителям автономного округа, вклад в развитие институтов гражданского общества, плодотворную общественную деятельность, связанную с удовлетворением духовных, нравственных и иных нематериальных потребностей, защитой прав и законных интересов граждан, а также направленную на достижение иных общественных благ.</w:t>
            </w:r>
          </w:p>
        </w:tc>
      </w:tr>
      <w:tr w:rsidR="00EA05C6" w:rsidTr="00BA3577">
        <w:tc>
          <w:tcPr>
            <w:tcW w:w="2405" w:type="dxa"/>
          </w:tcPr>
          <w:p w:rsidR="00EA05C6" w:rsidRDefault="002C1E7B" w:rsidP="00EA05C6">
            <w:pPr>
              <w:jc w:val="center"/>
            </w:pPr>
            <w:r>
              <w:t>2.3</w:t>
            </w:r>
          </w:p>
        </w:tc>
        <w:tc>
          <w:tcPr>
            <w:tcW w:w="11871" w:type="dxa"/>
          </w:tcPr>
          <w:p w:rsidR="003D51D1" w:rsidRDefault="003D51D1" w:rsidP="002C1E7B">
            <w:pPr>
              <w:jc w:val="both"/>
            </w:pPr>
            <w:r>
              <w:t>По информации Департамента по управлению государственным имуществом автономного округа:</w:t>
            </w:r>
          </w:p>
          <w:p w:rsidR="002C1E7B" w:rsidRDefault="002C1E7B" w:rsidP="002C1E7B">
            <w:pPr>
              <w:jc w:val="both"/>
            </w:pPr>
            <w:r>
              <w:t xml:space="preserve">Государственная поддержка социально ориентированных некоммерческих организаций является </w:t>
            </w:r>
            <w:r>
              <w:lastRenderedPageBreak/>
              <w:t xml:space="preserve">одним из приоритетных направлений социально-экономической политики автономного округа. В соответствии с постановлениями Правительства автономного округа от 14 января 2012 года </w:t>
            </w:r>
            <w:r w:rsidR="00BA3577">
              <w:br/>
            </w:r>
            <w:r>
              <w:t>№ 1-п «О передаче некоторых полномочий Правительства Ханты-Мансийского автономного округа – Югры Департаменту по управлению государственным имуществом Ханты-Мансийского автономного округа – Югры», от 6 июля 2012 года № 244-п «О порядке формирования, ведения и опубликования перечней государственного имущества Ханты-Мансийского автономного округа – Югры, предназначенного для предоставления во владение и (или) пользование» Департаментом по управлению государственным имуществом автономного округа утвержден перечень государственного имущества автономного округа, свободного от прав третьих лиц (за исключением имущественных прав некоммерческих организаций) (далее – перечень для СОНКО), включающий в себя 547 объектов движимого и недвижимого имущества.</w:t>
            </w:r>
          </w:p>
          <w:p w:rsidR="002C1E7B" w:rsidRDefault="002C1E7B" w:rsidP="002C1E7B">
            <w:pPr>
              <w:jc w:val="both"/>
            </w:pPr>
            <w:r>
              <w:t>Указанный перечень размещен на официальном сайте Департамента по управлению государственным имуществом автономного округа в информационно-телекоммуникационной сети Интернет по адресу www.depgosim.admhmao.ru.</w:t>
            </w:r>
          </w:p>
          <w:p w:rsidR="00EA05C6" w:rsidRDefault="002C1E7B" w:rsidP="002C1E7B">
            <w:pPr>
              <w:jc w:val="both"/>
            </w:pPr>
            <w:r>
              <w:t>В течение 10 рабочих дней со дня внесения изменений в перечень государственного имущества автономного округа, свободного от прав третьих лиц (за исключением имущественных прав некоммерческих организаций) Департамент по управлению государственным имуществом автономного округа обеспечивает размещение перечней в официальном печатном издании автономного округа (газете «Новости Югры») или на «Информационно-аналитическом интернет-портале» www.ugra-news.ru («Новости Югры»).</w:t>
            </w:r>
          </w:p>
        </w:tc>
      </w:tr>
      <w:tr w:rsidR="003D51D1" w:rsidTr="00BA3577">
        <w:tc>
          <w:tcPr>
            <w:tcW w:w="2405" w:type="dxa"/>
          </w:tcPr>
          <w:p w:rsidR="003D51D1" w:rsidRDefault="003D51D1" w:rsidP="00EA05C6">
            <w:pPr>
              <w:jc w:val="center"/>
            </w:pPr>
            <w:r>
              <w:lastRenderedPageBreak/>
              <w:t>2.6</w:t>
            </w:r>
          </w:p>
        </w:tc>
        <w:tc>
          <w:tcPr>
            <w:tcW w:w="11871" w:type="dxa"/>
          </w:tcPr>
          <w:p w:rsidR="003D51D1" w:rsidRDefault="003D51D1" w:rsidP="003D51D1">
            <w:pPr>
              <w:jc w:val="both"/>
            </w:pPr>
            <w:r>
              <w:t>По информации Департамента по управлению государственным имуществом автономного округа:</w:t>
            </w:r>
          </w:p>
          <w:p w:rsidR="003D51D1" w:rsidRDefault="003D51D1" w:rsidP="003D51D1">
            <w:pPr>
              <w:jc w:val="both"/>
            </w:pPr>
            <w:r>
              <w:t xml:space="preserve">Передача государственного имущества автономного округа социально ориентированным некоммерческим организациям осуществляется в соответствии с постановлениями Правительства автономного округа от 27 ноября 2017 года № 466-п «О порядке предоставления в аренду имущества, находящегося в государственной собственности Ханты-Мансийского автономного округа – Югры, порядке согласования предоставления в аренду имущества, закрепленного за государственными учреждениями Ханты-Мансийского автономного округа – </w:t>
            </w:r>
            <w:r>
              <w:lastRenderedPageBreak/>
              <w:t>Югры на праве оперативного управления» (далее – постановление № 466-п), от 14 января 2011 года № 2-п «О порядке передачи в безвозмездное пользование объектов государственной собственности Ханты-Мансийского автономного округа – Югры». Постановлением № 466-п определен порядок согласования предоставления в аренду имущества, закрепленного за государственными учреждениями автономного округа (далее – учреждения) на праве оперативного управления, а также указан исчерпывающий перечень оснований для отказа в согласовании предоставления имущества в аренду.</w:t>
            </w:r>
          </w:p>
          <w:p w:rsidR="003D51D1" w:rsidRDefault="003D51D1" w:rsidP="003D51D1">
            <w:pPr>
              <w:jc w:val="both"/>
            </w:pPr>
            <w:r>
              <w:t>Таким образом предоставление во временное владение и пользование СОНКО имущества, закрепленного на праве оперативного управления за учреждениями, возможно по согласованию с Департаментом по управлению государственным имуществом автономного округа.</w:t>
            </w:r>
          </w:p>
          <w:p w:rsidR="003D51D1" w:rsidRDefault="003D51D1" w:rsidP="003D51D1">
            <w:pPr>
              <w:jc w:val="both"/>
            </w:pPr>
            <w:r>
              <w:t>Кроме того, бюджетным учреждением автономного округа «Государственный художественный музей» (далее – ГХМ) заключены договоры о некоммерческом сотрудничестве и совместной деятельности с Региональным отделением Всероссийской творческой общественной организации «Союз художников России» по автономному округу и Региональной общественной организацией «Ханты-Мансийский творческий союз художников».</w:t>
            </w:r>
          </w:p>
          <w:p w:rsidR="003D51D1" w:rsidRDefault="003D51D1" w:rsidP="003D51D1">
            <w:pPr>
              <w:jc w:val="both"/>
            </w:pPr>
            <w:r>
              <w:t>ГХМ регулярно предоставляет помещения и экспозиционные площади для организации и проведения совместных мероприятий: выставок, мастер-классов, лекций художников, творческих встреч и др.</w:t>
            </w:r>
          </w:p>
          <w:p w:rsidR="003D51D1" w:rsidRDefault="003D51D1" w:rsidP="003D51D1">
            <w:pPr>
              <w:jc w:val="both"/>
            </w:pPr>
            <w:r>
              <w:t>Бюджетное профессиональное образовательное учреждение «Сургутский колледж русской культуры им. А.С. Знаменского» предоставляет Региональной общественной организации автономного округа «Общество Русской Культуры» помещение на безвозмездной основе.</w:t>
            </w:r>
          </w:p>
          <w:p w:rsidR="003D51D1" w:rsidRDefault="003D51D1" w:rsidP="003D51D1">
            <w:pPr>
              <w:jc w:val="both"/>
            </w:pPr>
            <w:r>
              <w:t>Бюджетное учреждение автономного округа «Государственная библиотека Югры» на основании договоров аренды предоставляет помещения:</w:t>
            </w:r>
          </w:p>
          <w:p w:rsidR="003D51D1" w:rsidRDefault="003D51D1" w:rsidP="003D51D1">
            <w:pPr>
              <w:jc w:val="both"/>
            </w:pPr>
            <w:r>
              <w:t>- Библиотечной ассоциации Югры;</w:t>
            </w:r>
          </w:p>
          <w:p w:rsidR="003D51D1" w:rsidRDefault="003D51D1" w:rsidP="003D51D1">
            <w:pPr>
              <w:jc w:val="both"/>
            </w:pPr>
            <w:r>
              <w:t>- автономной некоммерческой организации дополнительного образования «Центр развития «ДОБРОЕ ДЕЛО».</w:t>
            </w:r>
          </w:p>
          <w:p w:rsidR="003D51D1" w:rsidRDefault="003D51D1" w:rsidP="003D51D1">
            <w:pPr>
              <w:jc w:val="both"/>
            </w:pPr>
            <w:r>
              <w:t>В бюджетном учреждении автономного округа «Музей Природы и Человека» осуществляет свою деятельность социально ориентированная некоммерческая организация «Ханты-</w:t>
            </w:r>
            <w:r>
              <w:lastRenderedPageBreak/>
              <w:t>Мансийская региональная общественная организация «Центр поддержки и развития музеев Югры».</w:t>
            </w:r>
          </w:p>
          <w:p w:rsidR="003D51D1" w:rsidRDefault="003D51D1" w:rsidP="003D51D1">
            <w:pPr>
              <w:jc w:val="both"/>
            </w:pPr>
            <w:r>
              <w:t>Бюджетное учреждение автономного округа «Этнографический музей под открытым небом «ТОРУМ МАА» на своей территории реализует творческие проекты с участием общественной организации автономного округа «Спасение Югры», Общиной коренного малочисленного народа манси «</w:t>
            </w:r>
            <w:proofErr w:type="spellStart"/>
            <w:r>
              <w:t>Тагт</w:t>
            </w:r>
            <w:proofErr w:type="spellEnd"/>
            <w:r>
              <w:t xml:space="preserve"> </w:t>
            </w:r>
            <w:proofErr w:type="spellStart"/>
            <w:r>
              <w:t>махум</w:t>
            </w:r>
            <w:proofErr w:type="spellEnd"/>
            <w:r>
              <w:t>» («Люди с Сосьвы»), автономной некоммерческой организацией «Центр продвижения языков и культур обско-угорских народов», общиной коренных малочисленных народов Севера «</w:t>
            </w:r>
            <w:proofErr w:type="spellStart"/>
            <w:r>
              <w:t>Востыхой</w:t>
            </w:r>
            <w:proofErr w:type="spellEnd"/>
            <w:r>
              <w:t>».</w:t>
            </w:r>
          </w:p>
          <w:p w:rsidR="003D51D1" w:rsidRDefault="003D51D1" w:rsidP="003D51D1">
            <w:pPr>
              <w:jc w:val="both"/>
            </w:pPr>
            <w:r>
              <w:t>Автономное учреждение автономного округа «Окружной Дом народного творчества» реализует совместные проекты с Региональным отделением Общероссийской общественной организации «Ассамблея народов России» в автономном округе, а также предоставляет помещения для проведения мероприятий.</w:t>
            </w:r>
          </w:p>
        </w:tc>
      </w:tr>
      <w:tr w:rsidR="003D51D1" w:rsidTr="00BA3577">
        <w:tc>
          <w:tcPr>
            <w:tcW w:w="2405" w:type="dxa"/>
          </w:tcPr>
          <w:p w:rsidR="003D51D1" w:rsidRDefault="003D51D1" w:rsidP="00EA05C6">
            <w:pPr>
              <w:jc w:val="center"/>
            </w:pPr>
            <w:r>
              <w:lastRenderedPageBreak/>
              <w:t>2.7</w:t>
            </w:r>
          </w:p>
        </w:tc>
        <w:tc>
          <w:tcPr>
            <w:tcW w:w="11871" w:type="dxa"/>
          </w:tcPr>
          <w:p w:rsidR="003D51D1" w:rsidRDefault="003D51D1" w:rsidP="003D51D1">
            <w:pPr>
              <w:jc w:val="both"/>
            </w:pPr>
            <w:r>
              <w:t>По информации Департамента экономического развития автономного округа:</w:t>
            </w:r>
          </w:p>
          <w:p w:rsidR="003D51D1" w:rsidRDefault="003D51D1" w:rsidP="003D51D1">
            <w:pPr>
              <w:jc w:val="both"/>
            </w:pPr>
            <w:r>
              <w:t>Оценка эффективности деятельности органов местного самоуправления городских округов и муниципальных районов автономного округа осуществляется по показателям, утвержденным указом Президента Российской Федерации от 28 апреля 2008 года № 607 «Об оценке эффективности деятельности органов местного самоуправления муниципальных, городских округов и муниципальных районов» (далее – Указ № 607), подпунктом «и» пункта 2 Указа Президента Российской Федерации от 7 мая 2012 года № 601 «Об основных направлениях совершенствования системы государственного управления» (далее – Указ № 601), постановлением Правительства Российской Федерации от 17 декабря 2012 года № 13172 (далее – Постановление № 1317).</w:t>
            </w:r>
          </w:p>
          <w:p w:rsidR="003D51D1" w:rsidRDefault="003D51D1" w:rsidP="003D51D1">
            <w:pPr>
              <w:jc w:val="both"/>
            </w:pPr>
            <w:r>
              <w:t>Согласно пункту 5 Указа № 607 установление органами исполнительной власти субъектов Российской Федерации дополнительных показателей для оценки эффективности деятельности органов местного самоуправления муниципальных, городских округов и муниципальных районов не допускается.</w:t>
            </w:r>
          </w:p>
          <w:p w:rsidR="003D51D1" w:rsidRDefault="003D51D1" w:rsidP="003D51D1">
            <w:pPr>
              <w:jc w:val="both"/>
            </w:pPr>
            <w:r>
              <w:t xml:space="preserve">Вместе с тем, в соответствии с методическими рекомендациями о выделении за счет бюджетных ассигнований из бюджета субъекта Российской Федерации грантов муниципальным </w:t>
            </w:r>
            <w:r>
              <w:lastRenderedPageBreak/>
              <w:t>образованиям в целях содействия достижению и (или) поощрения достижения наилучших значений показателей деятельности органов местного самоуправления муниципальных, городских округов и муниципальных районов, утвержденными Постановлением № 1317, установлено, что при выделении грантов могут устанавливаться дополнительные критерии определения размера гранта в зависимости от численности населения, уровня экономического развития и других параметров.</w:t>
            </w:r>
          </w:p>
          <w:p w:rsidR="003D51D1" w:rsidRDefault="003D51D1" w:rsidP="003D51D1">
            <w:pPr>
              <w:jc w:val="both"/>
            </w:pPr>
            <w:r>
              <w:t xml:space="preserve">В связи с чем Департаментом экономического развития автономного округа в июне 2021 года разработан проект постановления Правительства автономного округа </w:t>
            </w:r>
            <w:r w:rsidR="009D285E">
              <w:br/>
            </w:r>
            <w:r>
              <w:t>«О внесении изменений в постановление Правительства Ханты-Мансийского автономного округа – Югры от 24 января 2014 года № 24-п «О порядке выделения грантов городским округам и муниципальным районам Ханты-Мансийского автономного округа – Югры в целях поощрения достижения наилучших значений показателей деятельности органов местного самоуправления городских округов и муниципальных районов Ханты-Мансийского автономного округа – Югры» (далее – проект).</w:t>
            </w:r>
          </w:p>
          <w:p w:rsidR="003D51D1" w:rsidRDefault="003D51D1" w:rsidP="003D51D1">
            <w:pPr>
              <w:jc w:val="both"/>
            </w:pPr>
            <w:r>
              <w:t>Проектом предлагается распределять гранты по результатам комплексной оценки эффективности деятельности органов местного самоуправления муниципальных образований автономного округа с учетом итогов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сфере.</w:t>
            </w:r>
          </w:p>
          <w:p w:rsidR="003D51D1" w:rsidRDefault="003D51D1" w:rsidP="003D51D1">
            <w:pPr>
              <w:jc w:val="both"/>
            </w:pPr>
            <w:r>
              <w:t>В настоящее время проект проходит процедуру согласования с членами Правительства автономного округа.</w:t>
            </w:r>
          </w:p>
        </w:tc>
      </w:tr>
      <w:tr w:rsidR="003D51D1" w:rsidTr="00BA3577">
        <w:tc>
          <w:tcPr>
            <w:tcW w:w="2405" w:type="dxa"/>
          </w:tcPr>
          <w:p w:rsidR="003D51D1" w:rsidRDefault="003D51D1" w:rsidP="00EA05C6">
            <w:pPr>
              <w:jc w:val="center"/>
            </w:pPr>
            <w:r>
              <w:lastRenderedPageBreak/>
              <w:t xml:space="preserve">2.8 </w:t>
            </w:r>
          </w:p>
        </w:tc>
        <w:tc>
          <w:tcPr>
            <w:tcW w:w="11871" w:type="dxa"/>
          </w:tcPr>
          <w:p w:rsidR="009D285E" w:rsidRDefault="009D285E" w:rsidP="009D285E">
            <w:pPr>
              <w:jc w:val="both"/>
            </w:pPr>
            <w:r>
              <w:t>По информации Департамента экономического развития автономного округа:</w:t>
            </w:r>
          </w:p>
          <w:p w:rsidR="003D51D1" w:rsidRDefault="003D51D1" w:rsidP="003D51D1">
            <w:pPr>
              <w:jc w:val="both"/>
            </w:pPr>
            <w:r>
              <w:t xml:space="preserve">Автономный округ принимает участие в апробации механизмов организации оказания государственных услуг в социальной сфере, на рынках услуг физической культуры и спорта (услуга по спортивной подготовке по неолимпийским видам спорта по виду спорта «шахматы» на этапе начальной подготовки) и социального обслуживания населения (услуга по </w:t>
            </w:r>
            <w:r>
              <w:lastRenderedPageBreak/>
              <w:t xml:space="preserve">предоставлению социального обслуживания в форме на дому) в соответствии с Федеральным законом от 13 июля 2020 года </w:t>
            </w:r>
            <w:r>
              <w:br/>
              <w:t xml:space="preserve">№ 189-ФЗ «О государственном (муниципальном) социальном заказе на оказание государственных (муниципальных) услуг в социальной сфере», результаты которого ожидаются к 1 января 2025 года. </w:t>
            </w:r>
          </w:p>
          <w:p w:rsidR="003D51D1" w:rsidRDefault="003D51D1" w:rsidP="003D51D1">
            <w:pPr>
              <w:jc w:val="both"/>
            </w:pPr>
            <w:r>
              <w:t>Участие в апробации позволит усовершенствовать конкурентные механизмы отбора государственных и негосударственных поставщиков услуг, в том числе учет прямых затрат на оказание государственной услуги и создать условия, при которых все поставщики услуг имеют равные возможности, повысить качество и доступность услуг социальной сферы для населения и, как следствие, удовлетворенность получателей услуг.</w:t>
            </w:r>
          </w:p>
        </w:tc>
      </w:tr>
      <w:tr w:rsidR="009D285E" w:rsidTr="00BA3577">
        <w:tc>
          <w:tcPr>
            <w:tcW w:w="2405" w:type="dxa"/>
          </w:tcPr>
          <w:p w:rsidR="009D285E" w:rsidRDefault="009D285E" w:rsidP="00EA05C6">
            <w:pPr>
              <w:jc w:val="center"/>
            </w:pPr>
            <w:r>
              <w:lastRenderedPageBreak/>
              <w:t>2.14</w:t>
            </w:r>
          </w:p>
        </w:tc>
        <w:tc>
          <w:tcPr>
            <w:tcW w:w="11871" w:type="dxa"/>
          </w:tcPr>
          <w:p w:rsidR="009D285E" w:rsidRDefault="009D285E" w:rsidP="00856099">
            <w:pPr>
              <w:jc w:val="both"/>
            </w:pPr>
            <w:r>
              <w:t>По информации Департамента здравоохранения автономного округа:</w:t>
            </w:r>
          </w:p>
          <w:p w:rsidR="009D285E" w:rsidRDefault="009D285E" w:rsidP="00856099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Департаментом здравоохранения автономного округа разработано типовое </w:t>
            </w:r>
            <w:r w:rsidR="00856099">
              <w:rPr>
                <w:szCs w:val="28"/>
              </w:rPr>
              <w:t>с</w:t>
            </w:r>
            <w:r>
              <w:rPr>
                <w:szCs w:val="28"/>
              </w:rPr>
              <w:t>оглашение с благотворительными организациями.</w:t>
            </w:r>
            <w:r w:rsidR="00856099">
              <w:rPr>
                <w:szCs w:val="28"/>
              </w:rPr>
              <w:t xml:space="preserve"> </w:t>
            </w:r>
            <w:r>
              <w:rPr>
                <w:szCs w:val="28"/>
              </w:rPr>
              <w:t>8 июня 2021 года подписано соглашение № 07-С-12 о взаимодействии с Региональным благотворительным фондом помощи детям и молодежи с тяжелыми заболеваниями «Благо дарю».</w:t>
            </w:r>
          </w:p>
          <w:p w:rsidR="009D285E" w:rsidRDefault="009D285E" w:rsidP="00856099">
            <w:pPr>
              <w:shd w:val="clear" w:color="auto" w:fill="FFFFFF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Приказом Департамента здравоохранения автономного округа от </w:t>
            </w:r>
            <w:r>
              <w:rPr>
                <w:szCs w:val="28"/>
              </w:rPr>
              <w:br/>
              <w:t>21 июля 2021 года № 1068 «Об организации работы Экспертного совета Департамента здравоохранения Ханты-Мансийского автономного округа – Югры, р</w:t>
            </w:r>
            <w:r w:rsidRPr="00CF4726">
              <w:rPr>
                <w:szCs w:val="28"/>
              </w:rPr>
              <w:t>егиональн</w:t>
            </w:r>
            <w:r>
              <w:rPr>
                <w:szCs w:val="28"/>
              </w:rPr>
              <w:t>ого</w:t>
            </w:r>
            <w:r w:rsidRPr="00CF4726">
              <w:rPr>
                <w:szCs w:val="28"/>
              </w:rPr>
              <w:t xml:space="preserve"> благотворительн</w:t>
            </w:r>
            <w:r>
              <w:rPr>
                <w:szCs w:val="28"/>
              </w:rPr>
              <w:t>ого</w:t>
            </w:r>
            <w:r w:rsidRPr="00CF4726">
              <w:rPr>
                <w:szCs w:val="28"/>
              </w:rPr>
              <w:t xml:space="preserve"> фонд</w:t>
            </w:r>
            <w:r>
              <w:rPr>
                <w:szCs w:val="28"/>
              </w:rPr>
              <w:t>а</w:t>
            </w:r>
            <w:r w:rsidRPr="00CF4726">
              <w:rPr>
                <w:szCs w:val="28"/>
              </w:rPr>
              <w:t xml:space="preserve"> помощи детям и молодежи с тяжелыми заболеваниями «Благо дарю»</w:t>
            </w:r>
            <w:r>
              <w:rPr>
                <w:szCs w:val="28"/>
              </w:rPr>
              <w:t xml:space="preserve"> утверждены состав Экспертного совета и регламент его работы.</w:t>
            </w:r>
          </w:p>
          <w:p w:rsidR="009D285E" w:rsidRDefault="009D285E" w:rsidP="00856099">
            <w:pPr>
              <w:jc w:val="both"/>
            </w:pPr>
          </w:p>
        </w:tc>
      </w:tr>
      <w:tr w:rsidR="00856099" w:rsidTr="00BA3577">
        <w:tc>
          <w:tcPr>
            <w:tcW w:w="2405" w:type="dxa"/>
          </w:tcPr>
          <w:p w:rsidR="00856099" w:rsidRDefault="00856099" w:rsidP="00EA05C6">
            <w:pPr>
              <w:jc w:val="center"/>
            </w:pPr>
            <w:r>
              <w:t>2.17</w:t>
            </w:r>
          </w:p>
        </w:tc>
        <w:tc>
          <w:tcPr>
            <w:tcW w:w="11871" w:type="dxa"/>
          </w:tcPr>
          <w:p w:rsidR="00BD6EE1" w:rsidRDefault="00856099" w:rsidP="00856099">
            <w:pPr>
              <w:jc w:val="both"/>
            </w:pPr>
            <w:r>
              <w:t>По информации Департамента физической культуры и спорта автономного округа:</w:t>
            </w:r>
          </w:p>
          <w:p w:rsidR="00856099" w:rsidRDefault="00856099" w:rsidP="00856099">
            <w:pPr>
              <w:jc w:val="both"/>
            </w:pPr>
            <w:r>
              <w:t>Нематериальная поддержка добровольцев (волонтеров) за 2020 год осуществлялась посредством вручения Памятных медалей Президент</w:t>
            </w:r>
            <w:bookmarkStart w:id="0" w:name="_GoBack"/>
            <w:bookmarkEnd w:id="0"/>
            <w:r>
              <w:t>а Российской Федерации В.В. Путина «За бескорыстный вклад в организацию Общероссийской акции взаимопомощи #МЫВМЕСТЕ», благодарностей Губернатора автономного округа «За плодотворную общественную деятельность», благодарственных писем Президента Российской Федерации «За бескорыстный вклад в проведение Всероссийской акции взаимопомощи #</w:t>
            </w:r>
            <w:proofErr w:type="spellStart"/>
            <w:r>
              <w:t>МыВместе</w:t>
            </w:r>
            <w:proofErr w:type="spellEnd"/>
            <w:r>
              <w:t xml:space="preserve">, направленной на социальную </w:t>
            </w:r>
            <w:r>
              <w:lastRenderedPageBreak/>
              <w:t xml:space="preserve">поддержку граждан в период пандемии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 в Российской Федерации». Всего указанными наградами отмечены 328 добровольцев автономного округа.</w:t>
            </w:r>
          </w:p>
          <w:p w:rsidR="00856099" w:rsidRDefault="00856099" w:rsidP="00856099">
            <w:pPr>
              <w:jc w:val="both"/>
            </w:pPr>
            <w:r>
              <w:t xml:space="preserve">В период пандемии новой </w:t>
            </w:r>
            <w:proofErr w:type="spellStart"/>
            <w:r>
              <w:t>коронавирусной</w:t>
            </w:r>
            <w:proofErr w:type="spellEnd"/>
            <w:r>
              <w:t xml:space="preserve"> инфекции в отношении добровольцев введены следующие меры поддержки:</w:t>
            </w:r>
          </w:p>
          <w:p w:rsidR="00856099" w:rsidRDefault="00856099" w:rsidP="00856099">
            <w:pPr>
              <w:jc w:val="both"/>
            </w:pPr>
            <w:r>
              <w:t>- обеспечено страхование жизни и здоровья 1 500 волонтеров на сумму 3,6 млн. рублей. Выплата добровольцу при госпитализации с диагнозом COVID-19 составляет 2 000 рублей за один день пребывания в стационаре (до 60 дней), в случае смерти выплата составит 1,0 млн. рублей;</w:t>
            </w:r>
          </w:p>
          <w:p w:rsidR="00856099" w:rsidRDefault="00856099" w:rsidP="00856099">
            <w:pPr>
              <w:jc w:val="both"/>
            </w:pPr>
            <w:r>
              <w:t>- обеспечено горячим питанием 26 волонтеров;</w:t>
            </w:r>
          </w:p>
          <w:p w:rsidR="00856099" w:rsidRDefault="00856099" w:rsidP="00856099">
            <w:pPr>
              <w:jc w:val="both"/>
            </w:pPr>
            <w:r>
              <w:t>- предоставлено волонтерам 46000 масок, 18500 пар одноразовых перчаток, 1000 антисептических аэрозолей, 3050 флаконов антисептических гелей (100 мл), 21 защитный костюм, 94 защитных экрана;</w:t>
            </w:r>
          </w:p>
          <w:p w:rsidR="00856099" w:rsidRDefault="00856099" w:rsidP="00856099">
            <w:pPr>
              <w:jc w:val="both"/>
            </w:pPr>
            <w:r>
              <w:t>- предусмотрено 1,4 млн. рублей для приобретения 15000 одноразовых масок, 1000 многоразовых масок, 5000 упаковок спиртовых салфеток, 5000 антисептиков, 5000 пар перчаток;</w:t>
            </w:r>
          </w:p>
          <w:p w:rsidR="00856099" w:rsidRDefault="00856099" w:rsidP="00856099">
            <w:pPr>
              <w:jc w:val="both"/>
            </w:pPr>
            <w:r>
              <w:t>- организовано 50 централизованных пунктов выдачи и сбора средств индивидуальной защиты для добровольцев (волонтеров);</w:t>
            </w:r>
          </w:p>
          <w:p w:rsidR="00856099" w:rsidRDefault="00856099" w:rsidP="00856099">
            <w:pPr>
              <w:jc w:val="both"/>
            </w:pPr>
            <w:r>
              <w:t>- обучено 1543 добровольца;</w:t>
            </w:r>
          </w:p>
          <w:p w:rsidR="00856099" w:rsidRDefault="00856099" w:rsidP="00856099">
            <w:pPr>
              <w:jc w:val="both"/>
            </w:pPr>
            <w:r>
              <w:t xml:space="preserve">- органами местного самоуправления предоставляется добровольцам служебный автотранспорт; </w:t>
            </w:r>
          </w:p>
          <w:p w:rsidR="00856099" w:rsidRDefault="00856099" w:rsidP="00856099">
            <w:pPr>
              <w:jc w:val="both"/>
            </w:pPr>
            <w:r>
              <w:t>- осуществляется возмещение добровольцам проезда общественным транспортом при выполнении заявок. Предусмотрены средства в размере 255 тыс. рублей.</w:t>
            </w:r>
          </w:p>
          <w:p w:rsidR="00856099" w:rsidRDefault="00856099" w:rsidP="00856099">
            <w:pPr>
              <w:jc w:val="both"/>
            </w:pPr>
            <w:r>
              <w:t xml:space="preserve">В автономном округе ежегодно проводится конкурс социально значимых проектов и успешных гражданских практик «Премия «Признание». </w:t>
            </w:r>
          </w:p>
          <w:p w:rsidR="00856099" w:rsidRDefault="00856099" w:rsidP="00856099">
            <w:pPr>
              <w:jc w:val="both"/>
            </w:pPr>
            <w:r>
              <w:t>В 2020 году в номинации для физических лиц, реализующих проекты по поддержке пожилых людей, лиц с ограниченными возможностями здоровья, детей-сирот и детей, оставшихся без попечения родителей, «Милосердие без границ» лучшим признан проект «Дедушка на час» Олега Филяева – серебряного волонтера, который помогает землякам справляться с мелкими бытовыми стрессами.</w:t>
            </w:r>
          </w:p>
          <w:p w:rsidR="00856099" w:rsidRDefault="00856099" w:rsidP="00856099">
            <w:pPr>
              <w:jc w:val="both"/>
            </w:pPr>
            <w:r>
              <w:t xml:space="preserve">Лауреатом в номинации «Социальная звезда» признан социально-благотворительный проект </w:t>
            </w:r>
            <w:r>
              <w:lastRenderedPageBreak/>
              <w:t>«Помоги продержаться» (руководитель проекта Вероника Матвиенок) региональной общественной организации «Центр поддержки семьи» в Нижневартовске. Уже 9 лет в городе действует благотворительный склад, проводятся благотворительные акции для многодетных и малообеспеченных семей.</w:t>
            </w:r>
          </w:p>
          <w:p w:rsidR="00856099" w:rsidRDefault="00856099" w:rsidP="00856099">
            <w:pPr>
              <w:jc w:val="both"/>
            </w:pPr>
            <w:r>
              <w:t xml:space="preserve">Победителем в специальной номинации «Мы вместе» стала практика «Штаб добровольцев Югры по противодействию распространения </w:t>
            </w:r>
          </w:p>
          <w:p w:rsidR="00856099" w:rsidRDefault="00856099" w:rsidP="00856099">
            <w:pPr>
              <w:jc w:val="both"/>
            </w:pPr>
            <w:r>
              <w:t>COVID-19» (руководитель проекта Светлана Басова). Добровольцы выполнили более 13 тыс. заявок по доставке лекарств, продуктов, предметов первой необходимости.</w:t>
            </w:r>
          </w:p>
          <w:p w:rsidR="00856099" w:rsidRDefault="00856099" w:rsidP="00856099">
            <w:pPr>
              <w:jc w:val="both"/>
            </w:pPr>
            <w:r>
              <w:t>Приказом Департамента социального развития автономного округа от 2 октября 2020 года № 1259-р «Об организации работы учреждений, подведомственных Депсоцразвития Югры, по организации социально-психологического сопровождения лиц с инвалидностью добровольцами (волонтерами), профилактике эмоционального выгорания добровольцев (волонтеров), оказывающих услуги людям с инвалидностью» утверждена программа по профилактике эмоционального выгорания добровольцев (волонтеров) социальной сферы».</w:t>
            </w:r>
          </w:p>
          <w:p w:rsidR="00856099" w:rsidRDefault="00856099" w:rsidP="00856099">
            <w:pPr>
              <w:jc w:val="both"/>
            </w:pPr>
            <w:r>
              <w:t xml:space="preserve">К деятельности по социально-психологическому сопровождению лиц с инвалидностью и детей-инвалидов в 2021 году привлечены </w:t>
            </w:r>
          </w:p>
          <w:p w:rsidR="00856099" w:rsidRDefault="00856099" w:rsidP="00856099">
            <w:pPr>
              <w:jc w:val="both"/>
            </w:pPr>
            <w:r>
              <w:t>45 социальных партнеров (СОНКО, волонтерские объединения, государственные учреждения) и 296 добровольцев (волонтеров).</w:t>
            </w:r>
          </w:p>
          <w:p w:rsidR="00856099" w:rsidRDefault="00856099" w:rsidP="00856099">
            <w:pPr>
              <w:jc w:val="both"/>
            </w:pPr>
            <w:r>
              <w:t xml:space="preserve">Поскольку добровольческая деятельность с такой категорией получателей социальных услуг как инвалиды и дети-инвалиды является достаточно </w:t>
            </w:r>
            <w:proofErr w:type="spellStart"/>
            <w:r>
              <w:t>энергозатратной</w:t>
            </w:r>
            <w:proofErr w:type="spellEnd"/>
            <w:r>
              <w:t xml:space="preserve"> и сложной в эмоциональном и психологическом отношении, с добровольцами (волонтерами), работниками и активистами СОНКО специалистами-психологами проводится работа по профилактике эмоционального выгорания.</w:t>
            </w:r>
          </w:p>
          <w:p w:rsidR="00856099" w:rsidRDefault="00856099" w:rsidP="00856099">
            <w:pPr>
              <w:jc w:val="both"/>
            </w:pPr>
            <w:r>
              <w:t>Численность граждан, охваченных деятельностью психологов по профилактике эмоционального выгорания, в первом полугодии 2021 года составила 238 человек.</w:t>
            </w:r>
          </w:p>
          <w:p w:rsidR="00856099" w:rsidRDefault="00856099" w:rsidP="00856099">
            <w:pPr>
              <w:jc w:val="both"/>
            </w:pPr>
            <w:r>
              <w:t xml:space="preserve">В соответствии с приказом Департамента физической культуры и спорта автономного округа (далее – Департамент) от 27 сентября 2018 года № 246 осуществляется поощрение граждан за участие в добровольческой (волонтерской) деятельности в сфере адаптивной физической </w:t>
            </w:r>
            <w:r>
              <w:lastRenderedPageBreak/>
              <w:t>культуры и спорта на территории автономного округа.</w:t>
            </w:r>
          </w:p>
          <w:p w:rsidR="00856099" w:rsidRDefault="00856099" w:rsidP="00856099">
            <w:pPr>
              <w:jc w:val="both"/>
            </w:pPr>
            <w:r>
              <w:t>Лучшие волонтеры по итогам года или по итогам работы на международных и всероссийских соревнованиях награждаются сувенирами и благодарственными письмами Департамента.</w:t>
            </w:r>
          </w:p>
          <w:p w:rsidR="00856099" w:rsidRDefault="00856099" w:rsidP="00856099">
            <w:pPr>
              <w:jc w:val="both"/>
            </w:pPr>
            <w:r>
              <w:t>Благодарственные письма от директора бюджетного учреждения автономного округа «Центр адаптивного спорта» родителям лучших волонтеров развозятся на предприятия и вручаются на собраниях коллективов.</w:t>
            </w:r>
          </w:p>
        </w:tc>
      </w:tr>
      <w:tr w:rsidR="00856099" w:rsidTr="00BA3577">
        <w:tc>
          <w:tcPr>
            <w:tcW w:w="2405" w:type="dxa"/>
          </w:tcPr>
          <w:p w:rsidR="00856099" w:rsidRDefault="00856099" w:rsidP="00EA05C6">
            <w:pPr>
              <w:jc w:val="center"/>
            </w:pPr>
            <w:r>
              <w:lastRenderedPageBreak/>
              <w:t>2.18</w:t>
            </w:r>
          </w:p>
        </w:tc>
        <w:tc>
          <w:tcPr>
            <w:tcW w:w="11871" w:type="dxa"/>
          </w:tcPr>
          <w:p w:rsidR="00BD6EE1" w:rsidRDefault="00BD6EE1" w:rsidP="00856099">
            <w:pPr>
              <w:jc w:val="both"/>
            </w:pPr>
            <w:r>
              <w:t>По информации Департамента гражданской защиты населения автономного округа:</w:t>
            </w:r>
          </w:p>
          <w:p w:rsidR="00856099" w:rsidRDefault="00856099" w:rsidP="00856099">
            <w:pPr>
              <w:jc w:val="both"/>
            </w:pPr>
            <w:r>
              <w:t>Статьей 7 Закона автономного округа «О добровольной пожарной охране» предусмотрено страхование добровольных пожарных с момента обязательной регистрации в реестре добровольных пожарных автономного округа.</w:t>
            </w:r>
          </w:p>
          <w:p w:rsidR="00856099" w:rsidRDefault="00856099" w:rsidP="00856099">
            <w:pPr>
              <w:jc w:val="both"/>
            </w:pPr>
            <w:r>
              <w:t>В размере 100 тыс. рублей ежегодно осуществляется страхование от несчастных случаев добровольных пожарных, привлекаемых к участию в тушении пожаров и проведению аварийно-спасательных работ за счёт бюджетных средств, в соответствии с постановлением Правительства автономного округа от 15 июня 2012 года № 207-п «Об объеме бюджетных ассигнований финансирования расходов на личное страхование добровольных пожарных».</w:t>
            </w:r>
          </w:p>
          <w:p w:rsidR="00856099" w:rsidRDefault="00856099" w:rsidP="00856099">
            <w:pPr>
              <w:jc w:val="both"/>
            </w:pPr>
            <w:r>
              <w:t>В целях развития деятельности добровольной пожарной охраны и привлечения к участию в ней граждан привлекаются казачьи общества, внесенные в реестр казачьих обществ в Российской Федерации, для оказания содействия исполнительному органу государственной власти в сфере обеспечения пожарной безопасности населения и населенных пунктов автономного округа.</w:t>
            </w:r>
          </w:p>
          <w:p w:rsidR="00856099" w:rsidRDefault="00856099" w:rsidP="00856099">
            <w:pPr>
              <w:jc w:val="both"/>
            </w:pPr>
            <w:r>
              <w:t>В соответствии с пунктом 3 статьи 36 Федерального закона от 22 августа 1995 года № 151-ФЗ «Об аварийно-спасательных службах и статусе спасателей» граждане, не являющиеся спасателями, при привлечении их к проведению аварийно-спасательных работ (АСР) подлежат обязательному бесплатному личному страхованию.</w:t>
            </w:r>
          </w:p>
          <w:p w:rsidR="00856099" w:rsidRDefault="00856099" w:rsidP="00856099">
            <w:pPr>
              <w:jc w:val="both"/>
            </w:pPr>
            <w:r>
              <w:t>Решение о привлечении граждан, не являющихся спасателями, к проведению аварийно-спасательных работ принимают руководители федеральных органов исполнительной власти, органов исполнительной власти субъектов Российской Федерации, органов местного самоуправления, организаций, руководители ликвидации чрезвычайных ситуаций.</w:t>
            </w:r>
          </w:p>
          <w:p w:rsidR="00856099" w:rsidRDefault="00856099" w:rsidP="00856099">
            <w:pPr>
              <w:jc w:val="both"/>
            </w:pPr>
            <w:r>
              <w:t xml:space="preserve">В связи с вышеизложенным, установление обязанности по страхованию добровольца </w:t>
            </w:r>
            <w:r>
              <w:lastRenderedPageBreak/>
              <w:t>(волонтера), привлекаемого к участию в проведение аварийно-спасательных работ, спасению людей и имущества и оказанию первой помощи пострадавшим, является обязанностью привлекающей организации.</w:t>
            </w:r>
          </w:p>
          <w:p w:rsidR="00856099" w:rsidRDefault="00856099" w:rsidP="00856099">
            <w:pPr>
              <w:jc w:val="both"/>
            </w:pPr>
          </w:p>
        </w:tc>
      </w:tr>
    </w:tbl>
    <w:p w:rsidR="00EA05C6" w:rsidRDefault="00EA05C6" w:rsidP="00EA05C6">
      <w:pPr>
        <w:jc w:val="center"/>
      </w:pPr>
    </w:p>
    <w:sectPr w:rsidR="00EA05C6" w:rsidSect="00BA3577">
      <w:headerReference w:type="default" r:id="rId8"/>
      <w:pgSz w:w="16838" w:h="11906" w:orient="landscape"/>
      <w:pgMar w:top="1559" w:right="1418" w:bottom="1276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851" w:rsidRDefault="002F0851" w:rsidP="00BD6EE1">
      <w:pPr>
        <w:spacing w:after="0" w:line="240" w:lineRule="auto"/>
      </w:pPr>
      <w:r>
        <w:separator/>
      </w:r>
    </w:p>
  </w:endnote>
  <w:endnote w:type="continuationSeparator" w:id="0">
    <w:p w:rsidR="002F0851" w:rsidRDefault="002F0851" w:rsidP="00BD6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851" w:rsidRDefault="002F0851" w:rsidP="00BD6EE1">
      <w:pPr>
        <w:spacing w:after="0" w:line="240" w:lineRule="auto"/>
      </w:pPr>
      <w:r>
        <w:separator/>
      </w:r>
    </w:p>
  </w:footnote>
  <w:footnote w:type="continuationSeparator" w:id="0">
    <w:p w:rsidR="002F0851" w:rsidRDefault="002F0851" w:rsidP="00BD6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14521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D6EE1" w:rsidRPr="00BD6EE1" w:rsidRDefault="00BD6EE1">
        <w:pPr>
          <w:pStyle w:val="a4"/>
          <w:jc w:val="center"/>
          <w:rPr>
            <w:sz w:val="24"/>
            <w:szCs w:val="24"/>
          </w:rPr>
        </w:pPr>
        <w:r w:rsidRPr="00BD6EE1">
          <w:rPr>
            <w:sz w:val="24"/>
            <w:szCs w:val="24"/>
          </w:rPr>
          <w:fldChar w:fldCharType="begin"/>
        </w:r>
        <w:r w:rsidRPr="00BD6EE1">
          <w:rPr>
            <w:sz w:val="24"/>
            <w:szCs w:val="24"/>
          </w:rPr>
          <w:instrText>PAGE   \* MERGEFORMAT</w:instrText>
        </w:r>
        <w:r w:rsidRPr="00BD6EE1">
          <w:rPr>
            <w:sz w:val="24"/>
            <w:szCs w:val="24"/>
          </w:rPr>
          <w:fldChar w:fldCharType="separate"/>
        </w:r>
        <w:r w:rsidR="00144D75">
          <w:rPr>
            <w:noProof/>
            <w:sz w:val="24"/>
            <w:szCs w:val="24"/>
          </w:rPr>
          <w:t>6</w:t>
        </w:r>
        <w:r w:rsidRPr="00BD6EE1">
          <w:rPr>
            <w:sz w:val="24"/>
            <w:szCs w:val="24"/>
          </w:rPr>
          <w:fldChar w:fldCharType="end"/>
        </w:r>
      </w:p>
    </w:sdtContent>
  </w:sdt>
  <w:p w:rsidR="00BD6EE1" w:rsidRDefault="00BD6E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B4D"/>
    <w:rsid w:val="00144D75"/>
    <w:rsid w:val="002C1E7B"/>
    <w:rsid w:val="002F0851"/>
    <w:rsid w:val="003002B8"/>
    <w:rsid w:val="003D51D1"/>
    <w:rsid w:val="00856099"/>
    <w:rsid w:val="009D285E"/>
    <w:rsid w:val="00A44DF4"/>
    <w:rsid w:val="00BA3577"/>
    <w:rsid w:val="00BD6EE1"/>
    <w:rsid w:val="00CE5B4D"/>
    <w:rsid w:val="00EA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0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6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6EE1"/>
  </w:style>
  <w:style w:type="paragraph" w:styleId="a6">
    <w:name w:val="footer"/>
    <w:basedOn w:val="a"/>
    <w:link w:val="a7"/>
    <w:uiPriority w:val="99"/>
    <w:unhideWhenUsed/>
    <w:rsid w:val="00BD6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6E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0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D6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6EE1"/>
  </w:style>
  <w:style w:type="paragraph" w:styleId="a6">
    <w:name w:val="footer"/>
    <w:basedOn w:val="a"/>
    <w:link w:val="a7"/>
    <w:uiPriority w:val="99"/>
    <w:unhideWhenUsed/>
    <w:rsid w:val="00BD6E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D6E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8C20A-D86C-40C4-9BE8-61C063E48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2766</Words>
  <Characters>15772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Садовская Юлия Анатольевна</dc:creator>
  <cp:keywords/>
  <dc:description/>
  <cp:lastModifiedBy>Склярова Марина Сергеевна</cp:lastModifiedBy>
  <cp:revision>5</cp:revision>
  <dcterms:created xsi:type="dcterms:W3CDTF">2022-02-02T10:42:00Z</dcterms:created>
  <dcterms:modified xsi:type="dcterms:W3CDTF">2022-02-04T11:52:00Z</dcterms:modified>
</cp:coreProperties>
</file>